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28 vom 6. Juni 2024</w:t>
      </w:r>
    </w:p>
    <w:p>
      <w:r>
        <w:t>VS Kantonsgericht, 2024-06-06, FR</w:t>
      </w:r>
    </w:p>
    <w:p>
      <w:r>
        <w:rPr>
          <w:b/>
        </w:rPr>
        <w:t xml:space="preserve">Quelle: </w:t>
      </w:r>
      <w:r>
        <w:t>https://mcp.opencaselaw.ch/entscheid/vs_gerichte_A1 24 28</w:t>
      </w:r>
    </w:p>
    <w:p>
      <w:r>
        <w:t>FR: VS_GERICHTE A1 24 28 du 6 juin 2024</w:t>
      </w:r>
    </w:p>
    <w:p>
      <w:r>
        <w:t>IT: VS_GERICHTE A1 24 28 del 6 giugno 2024</w:t>
      </w:r>
    </w:p>
    <w:p>
      <w:pPr>
        <w:pStyle w:val="Heading2"/>
      </w:pPr>
      <w:r>
        <w:t>Regeste</w:t>
      </w:r>
    </w:p>
    <w:p>
      <w:r>
        <w:t>Par arrêt du 6 juin 2024 (7B_54/2024), le Tribunal fédéral a déclaré irrecevable le recours en matière de droit public interjeté par X_ contre ce jugement A1 24 28 A2 24 4 Tribunal cantonal Cour de droit public ARRÊT DU 8 AVRIL 2024 rendu par Le soussigné, statuant ce jour en qualité de juge unique au Palais de justice (article 26 LACP), à Sion; en la cause X _________, contre OFFICE DES SANCTIONS ET DES MESURES D'ACCOMPAGNEMENT (OSAMA), représenté par son Chef René Duc, autorité attaquée (TIG) recours de droit administratif contre la décision du 3 janvier 2024</w:t>
      </w:r>
    </w:p>
    <w:p>
      <w:pPr>
        <w:pStyle w:val="Heading2"/>
      </w:pPr>
      <w:r>
        <w:t>Erwägungen</w:t>
      </w:r>
    </w:p>
    <w:p>
      <w:r>
        <w:rPr>
          <w:b/>
        </w:rPr>
        <w:t>E. 1</w:t>
      </w:r>
    </w:p>
    <w:p>
      <w:r>
        <w:t>CP et 164 CP, peine privative de liberté de 27 mois avec sursis partiel durant 5 ans], 7 mars 2013 [violation des articles 253 CP, 146 al. 1 CP, 251 ch. 1 CP, peine privative de liberté de 6 mois avec sursis durant 4 ans], 20 août 2018 [violation des articles 146 al.1 CP, 116 al. 1 let. a LEtr, 166 CP, 22 et 181 CP, 95 al. 1 let. e LCR, 146 al. 2 CP et 251 ch. 1 CP, peine privative de liberté ferme de 18 mois], 27 mars 2019 (96 al. 2 1ère phrase LCR, 14 al. 1 LVA, 97 al. 1 let. b LCR, 95 al. 2 let. a LCR, 97 al. 1 let. a LCR, 90 al. 1 et 100 ch. 1 al. 1 LCR, 158 ch. 1 al. 3 CP et 251 ch. 1 CP, peine privative de liberté ferme de 6 mois] et 26 septembre 2022 [cf. plus haut]) et qui, à nouveau, fait l’objet depuis 2020 d’une nouvelle enquête pour des faits relevant de l’escroquerie et de l’abus de confiance, a clairement démontré l’existence d’un risque de récidive concret, risque maintes fois matérialisé. Le recourant n’est donc, quoi qu’il en dise, pas digne à l’avenir de l’ombre d’un zeste de confiance. On peut encore préciser à ce stade que nonobstant la présomption d’innocence valant pour l’affaire pénale vaudoise en cours, il est juste de prendre aussi cette affaire en compte pour apprécier le risque de récidive (cf. article 17 du Règlement sur le TIG et ACDP A1 24 4 du 8 mars 2024 consid. 3.3).</w:t>
      </w:r>
    </w:p>
    <w:p>
      <w:r>
        <w:t>Enfin, le recourant confond (p. 7/8 de son recours), pour la question de l’avocat d’office, les procédures pénale (où s’appliquent les articles 128 à 135 du code de procédure pénale suisse du 5 octobre 2007 [CPP ; RS 312.0] faisant notamment état de l’obligation faite à un magistrat, en fonction de la gravité d’une peine prévisible, de pourvoir l’accusé</w:t>
      </w:r>
    </w:p>
    <w:p>
      <w:r>
        <w:t>- 7 - d’un défenseur obligatoire) et administrative (à savoir la présente procédure, dans laquelle ne s’applique pas le CPP). 2.4. Dans un quatrième grief (p. 8 à 11), le recourant se plaint du raisonnement tenu par le Chef de l’OSAMA en relation avec les règles applicables pour pouvoir bénéficier du TIG. 2.4.1. L’article 79a al. 1 CP prévoit que s’il n’y a pas lieu de craindre que le condamné s’enfuie ou commette d’autres infractions, les peines suivantes peuvent, à sa demande, être exécutées sous la forme d’un travail d’intérêt général : a) une peine privative de liberté de six mois au plus ; b) un solde de peine de six mois au plus après imputation de la détention avant jugement ; c) une peine pécuniaire ou une amende. L’autorité compétente - soit l’autorité d’exécution d’une peine - doit donc évaluer les risques que présente un candidat au TIG et constater qu’il n’y a ni risque de fuite, ni risque de récidive. En d'autres termes, le TIG ne peut être prononcé qu'en l’absence d’un pronostic défavorable (ACDP A1 23 39/A2 23 15 du 3 mai 2023 consid. 5.1). 2.4.2. Selon l’article 6 al. 1 du Règlement sur le TIG, les conditions suivantes doivent être réunies pour bénéficier du TIG : a) une demande de la personne condamnée ; b) pas de crainte qu’elle ne s’enfuie ; c) pas de crainte qu’elle ne commette d’autres infractions ; d) une autorisation de séjour en Suisse ; e) pas d’expulsion en vertu des art. 66a et 66abis CP ; f) l’autorisation de la personne condamnée de communiquer à l’employeur l’infraction qui a conduit à la sanction ; g) des garanties quant au respect des conditions-cadre posées par l’autorité d’exécution et par l’entreprise d’engagement. Ces conditions personnelles sont cumulatives. L’article 8 du Règlement sur le TIG stipule que la personne condamnée doit fournir, sur requête de l’autorité d’exécution, tous documents et toutes informations utiles à l’appui de sa demande (al. 1) et que, en particulier, la personne condamnée de nationalité étrangère remet une attestation de son droit de séjour en Suisse (al. 2). Quant à l’article 17 du Règlement sur le TIG, il prévoit que si une enquête pénale est ouverte à l’encontre de la personne condamnée, l’exécution du TIG peut être suspendue ou révoquée. 2.4.3. En l’occurrence on peut renvoyer, afin d’éviter d’inutiles répétitions, à ce qui a été exposé plus haut (consid. 2.3), un risque de récidive d’infractions du même type étant ici qualifié, concret et hautement probable. On peut simplement signaler au recourant</w:t>
      </w:r>
    </w:p>
    <w:p>
      <w:r>
        <w:t>- 8 - que le Tribunal fédéral, dans un cas ressemblant au sien d’un délinquant d’habitude dans le domaine des infractions au patrimoine (arrêt du Tribunal fédéral 6B_872/2021 du. 28 juin 2022), avait admis l’existence d’un risque de récidive permettant de refuser le régime de la surveillance électronique (étant précisé que le risque de récidive s’analyse de manière identique pour bénéficier de la surveillance électronique ou du TIG) alors que pourtant le casier judiciaire de la personne concernée dans cet arrêt du Tribunal fédéral était bien moins fourni que celui du recourant. De plus, ce qui semble échapper au recourant, il n’a aucun droit à obtenir l’exécution de sa peine sous forme de TIG (cf. article 79a al. 1 CP : .... les peines suivantes « peuvent »...). Par surabondance, on peut relever qu’il était juste d’affirmer que l’absence de documents fournis par le recourant revenait à constater un manque de collaboration de sa part (cf. article 8 du Règlement sur le TIG). Partant, mal fondé, le grief est rejeté. 2.5. Dans un cinquième grief (p. 11), le recourant estime que l’autorité attaquée a commis un déni de justice en ne discutant pas tous ses arguments. Il peut ici simplement être renvoyé à l’argumentation développée au considérant 2.1. Vaine, la critique est infondée. 2.6. Les reproches formulés aux pages 12 à 14 et 17 à 20 et 22 du recours ne méritent pas qu’on s’y attarde. En effet, ils mêlent allègrement des dispositions européennes, fédérales et cantonales et consistent en de vaines considérations générales dont on peine à saisir le lien avec la présente affaire. Ces griefs sont donc rejetés.</w:t>
      </w:r>
    </w:p>
    <w:p>
      <w:r>
        <w:rPr>
          <w:b/>
        </w:rPr>
        <w:t>E. 3</w:t>
      </w:r>
    </w:p>
    <w:p>
      <w:r>
        <w:t>Eu égard aux considérations qui précèdent, le recours doit être rejeté dans la mesure de sa recevabilité (art. 80 al. 1 let. e LPJA).</w:t>
      </w:r>
    </w:p>
    <w:p>
      <w:r>
        <w:rPr>
          <w:b/>
        </w:rPr>
        <w:t>E. 3.1</w:t>
      </w:r>
    </w:p>
    <w:p>
      <w:r>
        <w:t>Le recourant a sollicité, dans son recours de droit administratif, l'assistance judiciaire totale.</w:t>
      </w:r>
    </w:p>
    <w:p>
      <w:r>
        <w:t>Selon l'article 2 al. 1 de la loi du 11 février 2009 sur l'assistance judiciaire (LAJ ; RS/VS 177.7), une personne a droit à l'assistance judiciaire si elle ne dispose pas de ressources suffisantes (let. a) et pour autant que sa cause ne paraisse pas dépourvue de toute chance de succès (let. b). Le bénéfice d’un conseil juridique commis d’office n’est de</w:t>
      </w:r>
    </w:p>
    <w:p>
      <w:r>
        <w:t>- 9 - surcroît accordé que s’il est nécessaire à la défense des intérêts du requérant (art. 2 al. 2 LAJ).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142 III 138 consid. 5.1 et 138 III 217 consid. 2.2). Les différentes conditions pour l’octroi de l’assistance judiciaire totale sont cumulatives (Corboz, Le droit constitutionnel à l’assistance judicaire, in SJ 2003 II p. 67 ss, p. 75).</w:t>
      </w:r>
    </w:p>
    <w:p>
      <w:r>
        <w:rPr>
          <w:b/>
        </w:rPr>
        <w:t>E. 3.2</w:t>
      </w:r>
    </w:p>
    <w:p>
      <w:r>
        <w:t>Dans le cas particulier, la condition de l’indigence n’est déjà pas remplie. En effet, le recourant n’a pas répondu à l’ordonnance judiciaire du 14 février 2024 - qu’il a pourtant retirée le lendemain - exigeant de sa part le dépôt de plusieurs titres portant sur sa situation financière. Il a donc échoué à rendre vraisemblable son indigence (cf. article 6 al. 3 OAJ), étant précisé que celle-ci ne ressort pas du dossier en main du juge de céans. Pour cette raison déjà, sa demande d’assistance judiciaire doit être rejetée. De toute manière, la condition (cumulative) des chances de succès n’était, elle non plus, pas réalisée sur le vu des considérations émises plus haut (cf. consid. 2.3) qui valent mutatis mutandis devant le Tribunal cantonal. Partant, la demande d’assistance judiciaire totale est rejetée.</w:t>
      </w:r>
    </w:p>
    <w:p>
      <w:r>
        <w:rPr>
          <w:b/>
        </w:rPr>
        <w:t>E. 4</w:t>
      </w:r>
    </w:p>
    <w:p>
      <w:r>
        <w:t>Vu l'issue du litige, les frais de la cause doivent être mis à la charge du recourant (art. 89 al. 1 LPJA), qui n’a pas droit à des dépens (art. 91 al. 1 a contrario LPJA). Ces frais sont fixés, principalement sur le vu des principes de la couverture des frais et de l’équivalence des prestations, à 1500 fr. (art. 3 al. 3, 11, 13 al. 1 et 25 LTar).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